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D" w:rsidRPr="00F130ED" w:rsidRDefault="00F130ED">
      <w:pPr>
        <w:rPr>
          <w:sz w:val="6"/>
          <w:szCs w:val="6"/>
        </w:rPr>
      </w:pP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4DB1" w:rsidRPr="00E238D2" w:rsidTr="00F130ED">
        <w:trPr>
          <w:jc w:val="center"/>
        </w:trPr>
        <w:tc>
          <w:tcPr>
            <w:tcW w:w="9576" w:type="dxa"/>
          </w:tcPr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6"/>
            </w:tblGrid>
            <w:tr w:rsidR="004D4DB1" w:rsidRPr="00E238D2" w:rsidTr="00F130ED">
              <w:tc>
                <w:tcPr>
                  <w:tcW w:w="9576" w:type="dxa"/>
                  <w:shd w:val="clear" w:color="auto" w:fill="782D21"/>
                </w:tcPr>
                <w:p w:rsidR="004D4DB1" w:rsidRPr="00EC5406" w:rsidRDefault="00DC06F8" w:rsidP="00DC06F8">
                  <w:pPr>
                    <w:pStyle w:val="Heading3"/>
                    <w:spacing w:before="120" w:after="120"/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ECONOMIC DEVELOPMENT</w:t>
                  </w:r>
                </w:p>
              </w:tc>
            </w:tr>
            <w:tr w:rsidR="004D4DB1" w:rsidRPr="00E238D2" w:rsidTr="00F130ED">
              <w:tc>
                <w:tcPr>
                  <w:tcW w:w="9576" w:type="dxa"/>
                </w:tcPr>
                <w:p w:rsidR="004D4DB1" w:rsidRDefault="004D4DB1" w:rsidP="00256E3B">
                  <w:pPr>
                    <w:pStyle w:val="Heading3"/>
                    <w:tabs>
                      <w:tab w:val="left" w:pos="2862"/>
                    </w:tabs>
                    <w:spacing w:before="40" w:after="40"/>
                    <w:rPr>
                      <w:color w:val="003399"/>
                      <w:sz w:val="20"/>
                      <w:szCs w:val="20"/>
                    </w:rPr>
                  </w:pPr>
                </w:p>
                <w:p w:rsidR="004D4DB1" w:rsidRPr="00A679AB" w:rsidRDefault="004D4DB1" w:rsidP="00256E3B">
                  <w:pPr>
                    <w:pStyle w:val="Heading3"/>
                    <w:tabs>
                      <w:tab w:val="left" w:pos="2862"/>
                    </w:tabs>
                    <w:spacing w:before="40" w:after="40"/>
                    <w:rPr>
                      <w:sz w:val="20"/>
                      <w:szCs w:val="20"/>
                    </w:rPr>
                  </w:pPr>
                  <w:r w:rsidRPr="00F10CD5">
                    <w:rPr>
                      <w:color w:val="003399"/>
                      <w:sz w:val="20"/>
                      <w:szCs w:val="20"/>
                    </w:rPr>
                    <w:t>Program Expenditures:</w:t>
                  </w:r>
                  <w:r w:rsidRPr="00106A6D">
                    <w:rPr>
                      <w:color w:val="782D21"/>
                      <w:sz w:val="20"/>
                      <w:szCs w:val="20"/>
                    </w:rPr>
                    <w:tab/>
                  </w:r>
                  <w:r w:rsidRPr="00A679AB">
                    <w:rPr>
                      <w:sz w:val="20"/>
                      <w:szCs w:val="20"/>
                    </w:rPr>
                    <w:t>$</w:t>
                  </w:r>
                  <w:r w:rsidR="00A679AB">
                    <w:rPr>
                      <w:sz w:val="20"/>
                      <w:szCs w:val="20"/>
                    </w:rPr>
                    <w:t>211,</w:t>
                  </w:r>
                  <w:r w:rsidR="00161B41">
                    <w:rPr>
                      <w:sz w:val="20"/>
                      <w:szCs w:val="20"/>
                    </w:rPr>
                    <w:t>450</w:t>
                  </w:r>
                </w:p>
                <w:p w:rsidR="004D4DB1" w:rsidRPr="00A679AB" w:rsidRDefault="004D4DB1" w:rsidP="00393438">
                  <w:pPr>
                    <w:spacing w:before="40" w:after="40"/>
                    <w:rPr>
                      <w:rFonts w:ascii="Arial" w:hAnsi="Arial" w:cs="Arial"/>
                      <w:b/>
                      <w:szCs w:val="20"/>
                    </w:rPr>
                  </w:pP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 xml:space="preserve">Personnel </w:t>
                  </w:r>
                  <w:r w:rsidR="007C05BF"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C</w:t>
                  </w: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osts</w:t>
                  </w:r>
                  <w:r w:rsidR="007C05BF"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:</w:t>
                  </w: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r w:rsidRPr="00A679AB">
                    <w:rPr>
                      <w:rFonts w:ascii="Arial" w:hAnsi="Arial" w:cs="Arial"/>
                      <w:b/>
                      <w:szCs w:val="20"/>
                    </w:rPr>
                    <w:t>$</w:t>
                  </w:r>
                  <w:r w:rsidR="00A679AB">
                    <w:rPr>
                      <w:rFonts w:ascii="Arial" w:hAnsi="Arial" w:cs="Arial"/>
                      <w:b/>
                      <w:szCs w:val="20"/>
                    </w:rPr>
                    <w:t>152,670</w:t>
                  </w:r>
                  <w:r w:rsidRPr="00A679AB">
                    <w:rPr>
                      <w:rFonts w:ascii="Arial" w:hAnsi="Arial" w:cs="Arial"/>
                      <w:b/>
                      <w:szCs w:val="20"/>
                    </w:rPr>
                    <w:t xml:space="preserve"> (</w:t>
                  </w:r>
                  <w:r w:rsidR="00A679AB">
                    <w:rPr>
                      <w:rFonts w:ascii="Arial" w:hAnsi="Arial" w:cs="Arial"/>
                      <w:b/>
                      <w:szCs w:val="20"/>
                    </w:rPr>
                    <w:t>72</w:t>
                  </w:r>
                  <w:r w:rsidRPr="00A679AB">
                    <w:rPr>
                      <w:rFonts w:ascii="Arial" w:hAnsi="Arial" w:cs="Arial"/>
                      <w:b/>
                      <w:szCs w:val="20"/>
                    </w:rPr>
                    <w:t>%)</w:t>
                  </w:r>
                </w:p>
                <w:p w:rsidR="00A679AB" w:rsidRPr="00A679AB" w:rsidRDefault="00A679AB" w:rsidP="00A679A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Supplies &amp; Services:</w:t>
                  </w: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r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proofErr w:type="gramStart"/>
                  <w:r w:rsidRPr="00A679AB">
                    <w:rPr>
                      <w:rFonts w:ascii="Arial" w:hAnsi="Arial" w:cs="Arial"/>
                      <w:b/>
                      <w:szCs w:val="20"/>
                    </w:rPr>
                    <w:t xml:space="preserve">$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32,300</w:t>
                  </w:r>
                  <w:proofErr w:type="gramEnd"/>
                  <w:r w:rsidRPr="00A679AB">
                    <w:rPr>
                      <w:rFonts w:ascii="Arial" w:hAnsi="Arial" w:cs="Arial"/>
                      <w:b/>
                      <w:szCs w:val="20"/>
                    </w:rPr>
                    <w:t xml:space="preserve"> (15%)</w:t>
                  </w:r>
                </w:p>
                <w:p w:rsidR="004D4DB1" w:rsidRPr="00A679AB" w:rsidRDefault="00A679AB" w:rsidP="00393438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Internal Charges</w:t>
                  </w:r>
                  <w:r w:rsidR="007C05BF"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>:</w:t>
                  </w:r>
                  <w:r w:rsidR="004D4DB1"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r w:rsidR="004D4DB1" w:rsidRPr="00A679AB">
                    <w:rPr>
                      <w:rFonts w:ascii="Arial" w:hAnsi="Arial" w:cs="Arial"/>
                      <w:b/>
                      <w:color w:val="003399"/>
                      <w:szCs w:val="20"/>
                    </w:rPr>
                    <w:tab/>
                  </w:r>
                  <w:r w:rsidR="004D4DB1" w:rsidRPr="00A679AB">
                    <w:rPr>
                      <w:rFonts w:ascii="Arial" w:hAnsi="Arial" w:cs="Arial"/>
                      <w:b/>
                      <w:szCs w:val="20"/>
                    </w:rPr>
                    <w:t>$</w:t>
                  </w:r>
                  <w:r w:rsidR="00BF305C" w:rsidRPr="00A679AB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26,</w:t>
                  </w:r>
                  <w:r w:rsidR="00161B41">
                    <w:rPr>
                      <w:rFonts w:ascii="Arial" w:hAnsi="Arial" w:cs="Arial"/>
                      <w:b/>
                      <w:szCs w:val="20"/>
                    </w:rPr>
                    <w:t>480</w:t>
                  </w:r>
                  <w:bookmarkStart w:id="0" w:name="_GoBack"/>
                  <w:bookmarkEnd w:id="0"/>
                  <w:r w:rsidR="004D4DB1" w:rsidRPr="00A679AB">
                    <w:rPr>
                      <w:rFonts w:ascii="Arial" w:hAnsi="Arial" w:cs="Arial"/>
                      <w:b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  <w:r w:rsidR="004D4DB1" w:rsidRPr="00A679AB">
                    <w:rPr>
                      <w:rFonts w:ascii="Arial" w:hAnsi="Arial" w:cs="Arial"/>
                      <w:b/>
                      <w:szCs w:val="20"/>
                    </w:rPr>
                    <w:t>%)</w:t>
                  </w:r>
                </w:p>
                <w:p w:rsidR="004D4DB1" w:rsidRDefault="004D4DB1" w:rsidP="00256E3B">
                  <w:pPr>
                    <w:pStyle w:val="Heading3"/>
                    <w:tabs>
                      <w:tab w:val="left" w:pos="2862"/>
                    </w:tabs>
                    <w:spacing w:before="40" w:after="40"/>
                    <w:rPr>
                      <w:sz w:val="20"/>
                      <w:szCs w:val="20"/>
                    </w:rPr>
                  </w:pPr>
                  <w:r w:rsidRPr="00A679AB">
                    <w:rPr>
                      <w:color w:val="003399"/>
                      <w:sz w:val="20"/>
                      <w:szCs w:val="20"/>
                    </w:rPr>
                    <w:t>Employee Time Allocation:</w:t>
                  </w:r>
                  <w:r w:rsidRPr="00A679AB">
                    <w:rPr>
                      <w:color w:val="027180"/>
                      <w:sz w:val="20"/>
                      <w:szCs w:val="20"/>
                    </w:rPr>
                    <w:tab/>
                  </w:r>
                  <w:r w:rsidR="00BF305C" w:rsidRPr="00A679AB">
                    <w:rPr>
                      <w:color w:val="FFFFFF" w:themeColor="background1"/>
                      <w:sz w:val="20"/>
                      <w:szCs w:val="20"/>
                    </w:rPr>
                    <w:t xml:space="preserve">$      </w:t>
                  </w:r>
                  <w:r w:rsidRPr="00A679AB">
                    <w:rPr>
                      <w:sz w:val="20"/>
                      <w:szCs w:val="20"/>
                    </w:rPr>
                    <w:t>1.00 FTE</w:t>
                  </w:r>
                </w:p>
                <w:p w:rsidR="004D4DB1" w:rsidRPr="00256E3B" w:rsidRDefault="004D4DB1" w:rsidP="00256E3B"/>
              </w:tc>
            </w:tr>
            <w:tr w:rsidR="004D4DB1" w:rsidRPr="00E238D2" w:rsidTr="00F130ED">
              <w:tc>
                <w:tcPr>
                  <w:tcW w:w="9576" w:type="dxa"/>
                </w:tcPr>
                <w:p w:rsidR="008041A3" w:rsidRPr="00D46B36" w:rsidRDefault="008041A3" w:rsidP="008041A3">
                  <w:pPr>
                    <w:pStyle w:val="Heading3"/>
                    <w:spacing w:after="120"/>
                    <w:rPr>
                      <w:color w:val="003399"/>
                      <w:sz w:val="20"/>
                      <w:szCs w:val="20"/>
                    </w:rPr>
                  </w:pPr>
                  <w:r w:rsidRPr="00D46B36">
                    <w:rPr>
                      <w:color w:val="003399"/>
                      <w:sz w:val="20"/>
                      <w:szCs w:val="20"/>
                    </w:rPr>
                    <w:t>Mission Statement</w:t>
                  </w:r>
                </w:p>
                <w:p w:rsidR="004D4DB1" w:rsidRPr="00396BAA" w:rsidRDefault="004D4DB1" w:rsidP="00770E02">
                  <w:pPr>
                    <w:widowControl/>
                    <w:autoSpaceDE/>
                    <w:autoSpaceDN/>
                    <w:adjustRightInd/>
                    <w:spacing w:before="40" w:after="40" w:line="276" w:lineRule="auto"/>
                    <w:ind w:right="90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396BAA">
                    <w:rPr>
                      <w:rFonts w:ascii="Arial" w:hAnsi="Arial" w:cs="Arial"/>
                      <w:szCs w:val="20"/>
                    </w:rPr>
                    <w:t>The intent of the Economic Development program is to diversify Sedona’s economy consistent with the Community Plan.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="007C05BF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396BAA">
                    <w:rPr>
                      <w:rFonts w:ascii="Arial" w:hAnsi="Arial" w:cs="Arial"/>
                      <w:szCs w:val="20"/>
                    </w:rPr>
                    <w:t>The program will focus on services and programs that foster entrepreneurship, leveraging existing public and private resources at the local, regional</w:t>
                  </w:r>
                  <w:r w:rsidR="007C05BF">
                    <w:rPr>
                      <w:rFonts w:ascii="Arial" w:hAnsi="Arial" w:cs="Arial"/>
                      <w:szCs w:val="20"/>
                    </w:rPr>
                    <w:t>,</w:t>
                  </w:r>
                  <w:r w:rsidRPr="00396BAA">
                    <w:rPr>
                      <w:rFonts w:ascii="Arial" w:hAnsi="Arial" w:cs="Arial"/>
                      <w:szCs w:val="20"/>
                    </w:rPr>
                    <w:t xml:space="preserve"> and state level whenever possible.</w:t>
                  </w:r>
                </w:p>
              </w:tc>
            </w:tr>
            <w:tr w:rsidR="004D4DB1" w:rsidRPr="00E238D2" w:rsidTr="00F130ED">
              <w:tc>
                <w:tcPr>
                  <w:tcW w:w="9576" w:type="dxa"/>
                </w:tcPr>
                <w:p w:rsidR="004D4DB1" w:rsidRPr="00F10CD5" w:rsidRDefault="004D4DB1" w:rsidP="00751432">
                  <w:pPr>
                    <w:pStyle w:val="Heading3"/>
                    <w:spacing w:after="120"/>
                    <w:rPr>
                      <w:color w:val="003399"/>
                      <w:sz w:val="20"/>
                      <w:szCs w:val="20"/>
                    </w:rPr>
                  </w:pPr>
                  <w:r w:rsidRPr="00F10CD5">
                    <w:rPr>
                      <w:color w:val="003399"/>
                      <w:sz w:val="20"/>
                      <w:szCs w:val="20"/>
                    </w:rPr>
                    <w:t>FY 1</w:t>
                  </w:r>
                  <w:r w:rsidR="008041A3">
                    <w:rPr>
                      <w:color w:val="003399"/>
                      <w:sz w:val="20"/>
                      <w:szCs w:val="20"/>
                    </w:rPr>
                    <w:t>7</w:t>
                  </w:r>
                  <w:r w:rsidRPr="00F10CD5">
                    <w:rPr>
                      <w:color w:val="003399"/>
                      <w:sz w:val="20"/>
                      <w:szCs w:val="20"/>
                    </w:rPr>
                    <w:t xml:space="preserve"> Accomplishments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eastAsiaTheme="minorHAnsi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Cs w:val="20"/>
                    </w:rPr>
                    <w:t>More than 70% of the Year One Action Plan is complete including interdepartmental integration and partnership development.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eastAsiaTheme="minorHAnsi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Cs w:val="20"/>
                    </w:rPr>
                    <w:t xml:space="preserve">Met with more than 25 local business owners. 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eastAsiaTheme="minorHAnsi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Cs w:val="20"/>
                    </w:rPr>
                    <w:t xml:space="preserve">Provided business services such as loan applications, business planning, data, and access to other technical resources. 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eastAsiaTheme="minorHAnsi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Cs w:val="20"/>
                    </w:rPr>
                    <w:t xml:space="preserve">Director now chairs the Verde Valley Regional Economic Organization (VVREO) loan committee. </w:t>
                  </w:r>
                </w:p>
                <w:p w:rsidR="004D4DB1" w:rsidRPr="008041A3" w:rsidRDefault="008041A3" w:rsidP="008041A3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eastAsiaTheme="minorHAnsi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Cs w:val="20"/>
                    </w:rPr>
                    <w:t xml:space="preserve">Will host an Arizona Association of Economic Development (AAED) symposium in June 2017. </w:t>
                  </w:r>
                </w:p>
              </w:tc>
            </w:tr>
            <w:tr w:rsidR="004D4DB1" w:rsidRPr="00E238D2" w:rsidTr="00F130ED">
              <w:tc>
                <w:tcPr>
                  <w:tcW w:w="9576" w:type="dxa"/>
                </w:tcPr>
                <w:p w:rsidR="004D4DB1" w:rsidRPr="00F10CD5" w:rsidRDefault="004D4DB1" w:rsidP="00751432">
                  <w:pPr>
                    <w:pStyle w:val="Heading3"/>
                    <w:spacing w:after="120"/>
                    <w:jc w:val="both"/>
                    <w:rPr>
                      <w:color w:val="003399"/>
                      <w:sz w:val="20"/>
                      <w:szCs w:val="20"/>
                    </w:rPr>
                  </w:pPr>
                  <w:r w:rsidRPr="00F10CD5">
                    <w:rPr>
                      <w:color w:val="003399"/>
                      <w:sz w:val="20"/>
                      <w:szCs w:val="20"/>
                    </w:rPr>
                    <w:t>FY 1</w:t>
                  </w:r>
                  <w:r w:rsidR="008041A3">
                    <w:rPr>
                      <w:color w:val="003399"/>
                      <w:sz w:val="20"/>
                      <w:szCs w:val="20"/>
                    </w:rPr>
                    <w:t>8</w:t>
                  </w:r>
                  <w:r w:rsidRPr="00F10CD5">
                    <w:rPr>
                      <w:color w:val="003399"/>
                      <w:sz w:val="20"/>
                      <w:szCs w:val="20"/>
                    </w:rPr>
                    <w:t xml:space="preserve"> Objectives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Complete the 5-10 year economic development strategic plan. 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Routinely meet with economic development advisory group for input and assistance.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Acquire specific data related to targeted industries, market share, leakage reports, etc.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Create</w:t>
                  </w:r>
                  <w:r w:rsidRPr="00D41952">
                    <w:rPr>
                      <w:rFonts w:ascii="Arial" w:hAnsi="Arial" w:cs="Arial"/>
                      <w:szCs w:val="20"/>
                    </w:rPr>
                    <w:t xml:space="preserve"> an online presence for Sedona’s economic development.</w:t>
                  </w:r>
                </w:p>
                <w:p w:rsid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Create marketing materials and opportunities. </w:t>
                  </w:r>
                </w:p>
                <w:p w:rsidR="004D4DB1" w:rsidRPr="008041A3" w:rsidRDefault="008041A3" w:rsidP="008041A3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40" w:after="40" w:line="276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Establish an economic gardening program.</w:t>
                  </w:r>
                </w:p>
              </w:tc>
            </w:tr>
          </w:tbl>
          <w:p w:rsidR="004D4DB1" w:rsidRPr="00E238D2" w:rsidRDefault="004D4DB1" w:rsidP="00751432">
            <w:pPr>
              <w:pStyle w:val="Heading3"/>
              <w:spacing w:before="120" w:after="120"/>
              <w:rPr>
                <w:sz w:val="22"/>
                <w:szCs w:val="22"/>
              </w:rPr>
            </w:pPr>
          </w:p>
        </w:tc>
      </w:tr>
    </w:tbl>
    <w:p w:rsidR="00F130ED" w:rsidRDefault="00F130ED"/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1030"/>
        <w:gridCol w:w="1053"/>
        <w:gridCol w:w="1079"/>
        <w:gridCol w:w="1044"/>
      </w:tblGrid>
      <w:tr w:rsidR="008041A3" w:rsidRPr="00106A6D" w:rsidTr="008041A3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D21"/>
            <w:vAlign w:val="center"/>
          </w:tcPr>
          <w:p w:rsidR="008041A3" w:rsidRPr="00106A6D" w:rsidRDefault="008041A3" w:rsidP="00751432">
            <w:pPr>
              <w:pStyle w:val="Heading3"/>
              <w:spacing w:before="40"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06A6D">
              <w:rPr>
                <w:color w:val="FFFFFF" w:themeColor="background1"/>
                <w:sz w:val="20"/>
                <w:szCs w:val="20"/>
              </w:rPr>
              <w:t>PERFORMANCE MEASURES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3" w:rsidRPr="00106A6D" w:rsidRDefault="008041A3" w:rsidP="008041A3">
            <w:pPr>
              <w:pStyle w:val="Heading3"/>
              <w:spacing w:before="40" w:after="0"/>
              <w:jc w:val="center"/>
              <w:rPr>
                <w:sz w:val="20"/>
                <w:szCs w:val="20"/>
              </w:rPr>
            </w:pPr>
            <w:r w:rsidRPr="00106A6D">
              <w:rPr>
                <w:sz w:val="20"/>
                <w:szCs w:val="20"/>
              </w:rPr>
              <w:t>FY 1</w:t>
            </w:r>
            <w:r>
              <w:rPr>
                <w:sz w:val="20"/>
                <w:szCs w:val="20"/>
              </w:rPr>
              <w:t>6</w:t>
            </w:r>
            <w:r w:rsidRPr="00106A6D">
              <w:rPr>
                <w:sz w:val="20"/>
                <w:szCs w:val="20"/>
              </w:rPr>
              <w:br/>
              <w:t>Actual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3" w:rsidRPr="00106A6D" w:rsidRDefault="008041A3" w:rsidP="003B00CB">
            <w:pPr>
              <w:pStyle w:val="Heading3"/>
              <w:spacing w:before="40" w:after="0"/>
              <w:jc w:val="center"/>
              <w:rPr>
                <w:sz w:val="20"/>
                <w:szCs w:val="20"/>
              </w:rPr>
            </w:pPr>
            <w:r w:rsidRPr="00106A6D">
              <w:rPr>
                <w:sz w:val="20"/>
                <w:szCs w:val="20"/>
              </w:rPr>
              <w:t>FY 17</w:t>
            </w:r>
            <w:r w:rsidRPr="00106A6D">
              <w:rPr>
                <w:sz w:val="20"/>
                <w:szCs w:val="20"/>
              </w:rPr>
              <w:br/>
              <w:t>Target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3" w:rsidRPr="00106A6D" w:rsidRDefault="008041A3" w:rsidP="008041A3">
            <w:pPr>
              <w:pStyle w:val="Heading3"/>
              <w:spacing w:before="40" w:after="0"/>
              <w:jc w:val="center"/>
              <w:rPr>
                <w:sz w:val="20"/>
                <w:szCs w:val="20"/>
              </w:rPr>
            </w:pPr>
            <w:r w:rsidRPr="00106A6D">
              <w:rPr>
                <w:sz w:val="20"/>
                <w:szCs w:val="20"/>
              </w:rPr>
              <w:t>FY 1</w:t>
            </w:r>
            <w:r>
              <w:rPr>
                <w:sz w:val="20"/>
                <w:szCs w:val="20"/>
              </w:rPr>
              <w:t>7</w:t>
            </w:r>
            <w:r w:rsidRPr="00106A6D">
              <w:rPr>
                <w:sz w:val="20"/>
                <w:szCs w:val="20"/>
              </w:rPr>
              <w:br/>
              <w:t>Estimate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3" w:rsidRPr="00106A6D" w:rsidRDefault="008041A3" w:rsidP="008041A3">
            <w:pPr>
              <w:pStyle w:val="Heading3"/>
              <w:spacing w:before="40" w:after="0"/>
              <w:jc w:val="center"/>
              <w:rPr>
                <w:sz w:val="20"/>
                <w:szCs w:val="20"/>
              </w:rPr>
            </w:pPr>
            <w:r w:rsidRPr="00106A6D">
              <w:rPr>
                <w:sz w:val="20"/>
                <w:szCs w:val="20"/>
              </w:rPr>
              <w:t>FY 1</w:t>
            </w:r>
            <w:r>
              <w:rPr>
                <w:sz w:val="20"/>
                <w:szCs w:val="20"/>
              </w:rPr>
              <w:t>8</w:t>
            </w:r>
            <w:r w:rsidRPr="00106A6D">
              <w:rPr>
                <w:sz w:val="20"/>
                <w:szCs w:val="20"/>
              </w:rPr>
              <w:br/>
              <w:t>Target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Expansion and investment in targeted sector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$0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1A3" w:rsidRPr="00E65F09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 xml:space="preserve">Number of </w:t>
            </w:r>
            <w:r w:rsidRPr="00E65F09">
              <w:rPr>
                <w:rFonts w:ascii="Arial" w:eastAsia="SimSun" w:hAnsi="Arial" w:cs="Arial"/>
                <w:bCs/>
                <w:szCs w:val="20"/>
              </w:rPr>
              <w:t xml:space="preserve">inquiries </w:t>
            </w:r>
            <w:r>
              <w:rPr>
                <w:rFonts w:ascii="Arial" w:eastAsia="SimSun" w:hAnsi="Arial" w:cs="Arial"/>
                <w:bCs/>
                <w:szCs w:val="20"/>
              </w:rPr>
              <w:t>from businesses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15+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25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E65F09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of business visits/outreach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15+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25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eastAsia="SimSun" w:hAnsi="Arial" w:cs="Arial"/>
                <w:bCs/>
                <w:szCs w:val="20"/>
              </w:rPr>
            </w:pPr>
            <w:r w:rsidRPr="00324985">
              <w:rPr>
                <w:rFonts w:ascii="Arial" w:hAnsi="Arial" w:cs="Arial"/>
                <w:szCs w:val="20"/>
              </w:rPr>
              <w:t xml:space="preserve">Number of business </w:t>
            </w:r>
            <w:r>
              <w:rPr>
                <w:rFonts w:ascii="Arial" w:hAnsi="Arial" w:cs="Arial"/>
                <w:szCs w:val="20"/>
              </w:rPr>
              <w:t>engaged in services offered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20+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25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324985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hAnsi="Arial" w:cs="Arial"/>
                <w:szCs w:val="20"/>
              </w:rPr>
              <w:t>Number of jobs resulting from businesses served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5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131834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 w:rsidRPr="00131834">
              <w:rPr>
                <w:rFonts w:ascii="Arial" w:hAnsi="Arial" w:cs="Arial"/>
                <w:szCs w:val="20"/>
              </w:rPr>
              <w:t xml:space="preserve">Average wage of jobs created above livable wage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3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131834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Amount of </w:t>
            </w:r>
            <w:r w:rsidRPr="00131834">
              <w:rPr>
                <w:rFonts w:ascii="Arial" w:hAnsi="Arial" w:cs="Arial"/>
                <w:szCs w:val="20"/>
              </w:rPr>
              <w:t>private capital investment</w:t>
            </w:r>
            <w:r>
              <w:rPr>
                <w:rFonts w:ascii="Arial" w:hAnsi="Arial" w:cs="Arial"/>
                <w:szCs w:val="20"/>
              </w:rPr>
              <w:t xml:space="preserve"> invested by businesses served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$0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E65F09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of businesses assisted with business planning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>
              <w:rPr>
                <w:rFonts w:ascii="Arial" w:eastAsia="SimSun" w:hAnsi="Arial" w:cs="Arial"/>
                <w:bCs/>
                <w:szCs w:val="20"/>
              </w:rPr>
              <w:t>8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324985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ascii="Arial" w:eastAsia="SimSun" w:hAnsi="Arial" w:cs="Arial"/>
                <w:bCs/>
                <w:szCs w:val="20"/>
              </w:rPr>
            </w:pPr>
            <w:r w:rsidRPr="00E65F09">
              <w:rPr>
                <w:rFonts w:ascii="Arial" w:hAnsi="Arial" w:cs="Arial"/>
                <w:szCs w:val="20"/>
              </w:rPr>
              <w:t>Number of business loans / total value of loans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06A6D" w:rsidRDefault="008041A3" w:rsidP="0009036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2/$50K</w:t>
            </w:r>
          </w:p>
        </w:tc>
      </w:tr>
      <w:tr w:rsidR="008041A3" w:rsidRPr="00106A6D" w:rsidTr="00943DD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A3" w:rsidRPr="00131834" w:rsidRDefault="008041A3" w:rsidP="0009036F">
            <w:pPr>
              <w:widowControl/>
              <w:autoSpaceDE/>
              <w:autoSpaceDN/>
              <w:adjustRightInd/>
              <w:spacing w:before="40" w:after="40" w:line="276" w:lineRule="auto"/>
              <w:contextualSpacing/>
              <w:rPr>
                <w:rFonts w:ascii="Arial" w:hAnsi="Arial" w:cs="Arial"/>
                <w:szCs w:val="20"/>
              </w:rPr>
            </w:pPr>
            <w:r w:rsidRPr="00E65F09">
              <w:rPr>
                <w:rFonts w:ascii="Arial" w:hAnsi="Arial" w:cs="Arial"/>
                <w:szCs w:val="20"/>
              </w:rPr>
              <w:t>Number of unique website visits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A3" w:rsidRPr="00131834" w:rsidRDefault="008041A3" w:rsidP="0009036F">
            <w:pPr>
              <w:pStyle w:val="Level1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ind w:left="0" w:firstLine="0"/>
              <w:jc w:val="center"/>
              <w:rPr>
                <w:rFonts w:ascii="Arial" w:eastAsia="SimSun" w:hAnsi="Arial" w:cs="Arial"/>
                <w:bCs/>
                <w:szCs w:val="20"/>
              </w:rPr>
            </w:pPr>
            <w:r w:rsidRPr="00131834">
              <w:rPr>
                <w:rFonts w:ascii="Arial" w:eastAsia="SimSun" w:hAnsi="Arial" w:cs="Arial"/>
                <w:bCs/>
                <w:szCs w:val="20"/>
              </w:rPr>
              <w:t>100</w:t>
            </w:r>
          </w:p>
        </w:tc>
      </w:tr>
    </w:tbl>
    <w:p w:rsidR="00E34F45" w:rsidRDefault="00E34F45" w:rsidP="004D5D13">
      <w:pPr>
        <w:rPr>
          <w:rFonts w:ascii="Arial" w:hAnsi="Arial" w:cs="Arial"/>
          <w:sz w:val="24"/>
        </w:rPr>
      </w:pPr>
    </w:p>
    <w:sectPr w:rsidR="00E34F45" w:rsidSect="006C1902">
      <w:headerReference w:type="default" r:id="rId9"/>
      <w:endnotePr>
        <w:numFmt w:val="decimal"/>
      </w:endnotePr>
      <w:type w:val="continuous"/>
      <w:pgSz w:w="12240" w:h="15840"/>
      <w:pgMar w:top="1080" w:right="1440" w:bottom="792" w:left="1440" w:header="576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15" w:rsidRDefault="00784415">
      <w:r>
        <w:separator/>
      </w:r>
    </w:p>
  </w:endnote>
  <w:endnote w:type="continuationSeparator" w:id="0">
    <w:p w:rsidR="00784415" w:rsidRDefault="0078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15" w:rsidRDefault="00784415">
      <w:r>
        <w:separator/>
      </w:r>
    </w:p>
  </w:footnote>
  <w:footnote w:type="continuationSeparator" w:id="0">
    <w:p w:rsidR="00784415" w:rsidRDefault="0078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78" w:rsidRPr="001A1123" w:rsidRDefault="001B1978" w:rsidP="001A1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C61"/>
    <w:multiLevelType w:val="hybridMultilevel"/>
    <w:tmpl w:val="F00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10DC"/>
    <w:multiLevelType w:val="hybridMultilevel"/>
    <w:tmpl w:val="6B9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FEB"/>
    <w:multiLevelType w:val="hybridMultilevel"/>
    <w:tmpl w:val="64185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3608"/>
    <w:multiLevelType w:val="hybridMultilevel"/>
    <w:tmpl w:val="1508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19A"/>
    <w:multiLevelType w:val="hybridMultilevel"/>
    <w:tmpl w:val="6DA6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2962"/>
    <w:multiLevelType w:val="hybridMultilevel"/>
    <w:tmpl w:val="79C0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25A07"/>
    <w:multiLevelType w:val="hybridMultilevel"/>
    <w:tmpl w:val="284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20AD"/>
    <w:multiLevelType w:val="hybridMultilevel"/>
    <w:tmpl w:val="9532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72D7"/>
    <w:multiLevelType w:val="hybridMultilevel"/>
    <w:tmpl w:val="0536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AA9"/>
    <w:multiLevelType w:val="hybridMultilevel"/>
    <w:tmpl w:val="6A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93A76"/>
    <w:multiLevelType w:val="hybridMultilevel"/>
    <w:tmpl w:val="F2DA1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3F9"/>
    <w:multiLevelType w:val="hybridMultilevel"/>
    <w:tmpl w:val="C3B8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E2AE2"/>
    <w:multiLevelType w:val="hybridMultilevel"/>
    <w:tmpl w:val="42F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82491"/>
    <w:multiLevelType w:val="hybridMultilevel"/>
    <w:tmpl w:val="1C62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7C2D"/>
    <w:multiLevelType w:val="hybridMultilevel"/>
    <w:tmpl w:val="90385C4C"/>
    <w:lvl w:ilvl="0" w:tplc="D7A8F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DB5"/>
    <w:multiLevelType w:val="hybridMultilevel"/>
    <w:tmpl w:val="C9D6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A5192"/>
    <w:multiLevelType w:val="hybridMultilevel"/>
    <w:tmpl w:val="4F5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8"/>
    <w:rsid w:val="00002343"/>
    <w:rsid w:val="000071BF"/>
    <w:rsid w:val="0001220B"/>
    <w:rsid w:val="000579A4"/>
    <w:rsid w:val="0007635F"/>
    <w:rsid w:val="00082303"/>
    <w:rsid w:val="00086A97"/>
    <w:rsid w:val="0009120F"/>
    <w:rsid w:val="000A628E"/>
    <w:rsid w:val="000B0CCC"/>
    <w:rsid w:val="000B5E1E"/>
    <w:rsid w:val="000C335F"/>
    <w:rsid w:val="000D20DA"/>
    <w:rsid w:val="000D246D"/>
    <w:rsid w:val="000D5A7B"/>
    <w:rsid w:val="000E05F7"/>
    <w:rsid w:val="000E35D8"/>
    <w:rsid w:val="000F7B80"/>
    <w:rsid w:val="00103349"/>
    <w:rsid w:val="00106A6D"/>
    <w:rsid w:val="001355BE"/>
    <w:rsid w:val="00141D9E"/>
    <w:rsid w:val="00143EC5"/>
    <w:rsid w:val="001533F8"/>
    <w:rsid w:val="0015565D"/>
    <w:rsid w:val="00161B41"/>
    <w:rsid w:val="00171418"/>
    <w:rsid w:val="00173673"/>
    <w:rsid w:val="001747F6"/>
    <w:rsid w:val="001760EC"/>
    <w:rsid w:val="00177A83"/>
    <w:rsid w:val="001919C2"/>
    <w:rsid w:val="001A1123"/>
    <w:rsid w:val="001B1978"/>
    <w:rsid w:val="001B4C65"/>
    <w:rsid w:val="001C7EE7"/>
    <w:rsid w:val="001D32AE"/>
    <w:rsid w:val="001D7539"/>
    <w:rsid w:val="001E6AF4"/>
    <w:rsid w:val="002018C1"/>
    <w:rsid w:val="00205AC6"/>
    <w:rsid w:val="00214DBE"/>
    <w:rsid w:val="002223F4"/>
    <w:rsid w:val="0022766D"/>
    <w:rsid w:val="00233E19"/>
    <w:rsid w:val="00256E3B"/>
    <w:rsid w:val="00262AA3"/>
    <w:rsid w:val="00287FB4"/>
    <w:rsid w:val="002A10C1"/>
    <w:rsid w:val="002A755B"/>
    <w:rsid w:val="002C512F"/>
    <w:rsid w:val="002E2887"/>
    <w:rsid w:val="002F33F9"/>
    <w:rsid w:val="002F7BD1"/>
    <w:rsid w:val="00307F45"/>
    <w:rsid w:val="00322016"/>
    <w:rsid w:val="00324985"/>
    <w:rsid w:val="003322AD"/>
    <w:rsid w:val="00342F92"/>
    <w:rsid w:val="00345183"/>
    <w:rsid w:val="00350A8C"/>
    <w:rsid w:val="00350B6F"/>
    <w:rsid w:val="003535D9"/>
    <w:rsid w:val="00356005"/>
    <w:rsid w:val="003714F4"/>
    <w:rsid w:val="0037350B"/>
    <w:rsid w:val="00393438"/>
    <w:rsid w:val="00395533"/>
    <w:rsid w:val="00396BAA"/>
    <w:rsid w:val="003A325E"/>
    <w:rsid w:val="003A529A"/>
    <w:rsid w:val="003A7538"/>
    <w:rsid w:val="003B00CB"/>
    <w:rsid w:val="003B2C75"/>
    <w:rsid w:val="003B6197"/>
    <w:rsid w:val="003D4520"/>
    <w:rsid w:val="003D6C25"/>
    <w:rsid w:val="004068A3"/>
    <w:rsid w:val="00406EB1"/>
    <w:rsid w:val="00411AE7"/>
    <w:rsid w:val="00415F93"/>
    <w:rsid w:val="004171A2"/>
    <w:rsid w:val="004322C3"/>
    <w:rsid w:val="00434EE6"/>
    <w:rsid w:val="00436653"/>
    <w:rsid w:val="00451970"/>
    <w:rsid w:val="00460758"/>
    <w:rsid w:val="00471378"/>
    <w:rsid w:val="00475CDE"/>
    <w:rsid w:val="0047693A"/>
    <w:rsid w:val="004814D9"/>
    <w:rsid w:val="00487818"/>
    <w:rsid w:val="004A42FB"/>
    <w:rsid w:val="004B1E12"/>
    <w:rsid w:val="004C7076"/>
    <w:rsid w:val="004D05E0"/>
    <w:rsid w:val="004D3FB0"/>
    <w:rsid w:val="004D4DB1"/>
    <w:rsid w:val="004D5D13"/>
    <w:rsid w:val="004E5BB2"/>
    <w:rsid w:val="00507ED7"/>
    <w:rsid w:val="0052453F"/>
    <w:rsid w:val="00531D39"/>
    <w:rsid w:val="00551CD1"/>
    <w:rsid w:val="00563FFA"/>
    <w:rsid w:val="00575647"/>
    <w:rsid w:val="005803B4"/>
    <w:rsid w:val="005A20D1"/>
    <w:rsid w:val="00600B0B"/>
    <w:rsid w:val="00652B7C"/>
    <w:rsid w:val="006566B3"/>
    <w:rsid w:val="00665DA5"/>
    <w:rsid w:val="00680F5C"/>
    <w:rsid w:val="006A1733"/>
    <w:rsid w:val="006B49E8"/>
    <w:rsid w:val="006B7AF5"/>
    <w:rsid w:val="006C0DDA"/>
    <w:rsid w:val="006C12EC"/>
    <w:rsid w:val="006C1902"/>
    <w:rsid w:val="006D0162"/>
    <w:rsid w:val="006E066F"/>
    <w:rsid w:val="006E63B8"/>
    <w:rsid w:val="006F186A"/>
    <w:rsid w:val="006F6673"/>
    <w:rsid w:val="007104BC"/>
    <w:rsid w:val="00716305"/>
    <w:rsid w:val="007312C1"/>
    <w:rsid w:val="0074621D"/>
    <w:rsid w:val="00763756"/>
    <w:rsid w:val="00765AB3"/>
    <w:rsid w:val="00766FC5"/>
    <w:rsid w:val="00770E02"/>
    <w:rsid w:val="00784415"/>
    <w:rsid w:val="007854E9"/>
    <w:rsid w:val="0079515D"/>
    <w:rsid w:val="007C05BF"/>
    <w:rsid w:val="007D43DA"/>
    <w:rsid w:val="007D7E3A"/>
    <w:rsid w:val="007E1006"/>
    <w:rsid w:val="008018B4"/>
    <w:rsid w:val="008041A3"/>
    <w:rsid w:val="0080773E"/>
    <w:rsid w:val="00834632"/>
    <w:rsid w:val="008348F7"/>
    <w:rsid w:val="00847BE0"/>
    <w:rsid w:val="00862C47"/>
    <w:rsid w:val="00871E79"/>
    <w:rsid w:val="008820FE"/>
    <w:rsid w:val="008B3955"/>
    <w:rsid w:val="008C7692"/>
    <w:rsid w:val="008D73F5"/>
    <w:rsid w:val="008F65A6"/>
    <w:rsid w:val="009043C8"/>
    <w:rsid w:val="00934B72"/>
    <w:rsid w:val="00941E5C"/>
    <w:rsid w:val="00950FA9"/>
    <w:rsid w:val="00951B88"/>
    <w:rsid w:val="0095667D"/>
    <w:rsid w:val="00984AC5"/>
    <w:rsid w:val="00985615"/>
    <w:rsid w:val="009A2D49"/>
    <w:rsid w:val="009B0A03"/>
    <w:rsid w:val="009C6489"/>
    <w:rsid w:val="009C7B62"/>
    <w:rsid w:val="009D21DA"/>
    <w:rsid w:val="009D60BB"/>
    <w:rsid w:val="009E60C5"/>
    <w:rsid w:val="009F123A"/>
    <w:rsid w:val="00A05EE8"/>
    <w:rsid w:val="00A17148"/>
    <w:rsid w:val="00A27B7D"/>
    <w:rsid w:val="00A34F77"/>
    <w:rsid w:val="00A47C6C"/>
    <w:rsid w:val="00A679AB"/>
    <w:rsid w:val="00A80742"/>
    <w:rsid w:val="00A84B2C"/>
    <w:rsid w:val="00AA132A"/>
    <w:rsid w:val="00AA1622"/>
    <w:rsid w:val="00AA64F8"/>
    <w:rsid w:val="00AB587D"/>
    <w:rsid w:val="00AC55BC"/>
    <w:rsid w:val="00AD0D56"/>
    <w:rsid w:val="00AD318B"/>
    <w:rsid w:val="00AE3781"/>
    <w:rsid w:val="00AE535B"/>
    <w:rsid w:val="00AF7DB4"/>
    <w:rsid w:val="00B02C59"/>
    <w:rsid w:val="00B05069"/>
    <w:rsid w:val="00B117B0"/>
    <w:rsid w:val="00B55CE1"/>
    <w:rsid w:val="00B72434"/>
    <w:rsid w:val="00B84127"/>
    <w:rsid w:val="00BA0A1B"/>
    <w:rsid w:val="00BC2EC7"/>
    <w:rsid w:val="00BD2DC6"/>
    <w:rsid w:val="00BD2DD0"/>
    <w:rsid w:val="00BE3118"/>
    <w:rsid w:val="00BE7684"/>
    <w:rsid w:val="00BF305C"/>
    <w:rsid w:val="00BF346D"/>
    <w:rsid w:val="00C06BC4"/>
    <w:rsid w:val="00C14B1F"/>
    <w:rsid w:val="00C14C2D"/>
    <w:rsid w:val="00C8083C"/>
    <w:rsid w:val="00CA3FF4"/>
    <w:rsid w:val="00CA71B4"/>
    <w:rsid w:val="00CB6B40"/>
    <w:rsid w:val="00CD4AA5"/>
    <w:rsid w:val="00CD4E18"/>
    <w:rsid w:val="00CE25F5"/>
    <w:rsid w:val="00CF2462"/>
    <w:rsid w:val="00D008A2"/>
    <w:rsid w:val="00D04E16"/>
    <w:rsid w:val="00D05532"/>
    <w:rsid w:val="00D16B01"/>
    <w:rsid w:val="00D201BE"/>
    <w:rsid w:val="00D20C5B"/>
    <w:rsid w:val="00D43460"/>
    <w:rsid w:val="00D4605A"/>
    <w:rsid w:val="00D46AD0"/>
    <w:rsid w:val="00D46B36"/>
    <w:rsid w:val="00D479DC"/>
    <w:rsid w:val="00D75FEC"/>
    <w:rsid w:val="00D7636C"/>
    <w:rsid w:val="00D90DD0"/>
    <w:rsid w:val="00D932E8"/>
    <w:rsid w:val="00D97C53"/>
    <w:rsid w:val="00DA7356"/>
    <w:rsid w:val="00DB36DC"/>
    <w:rsid w:val="00DB3E3A"/>
    <w:rsid w:val="00DB6AAF"/>
    <w:rsid w:val="00DC06F8"/>
    <w:rsid w:val="00DF3EE1"/>
    <w:rsid w:val="00E11108"/>
    <w:rsid w:val="00E2342E"/>
    <w:rsid w:val="00E238D2"/>
    <w:rsid w:val="00E34F45"/>
    <w:rsid w:val="00E364A5"/>
    <w:rsid w:val="00E62823"/>
    <w:rsid w:val="00E73CCB"/>
    <w:rsid w:val="00E74ADD"/>
    <w:rsid w:val="00E90113"/>
    <w:rsid w:val="00E96CD2"/>
    <w:rsid w:val="00EB2EA7"/>
    <w:rsid w:val="00EC5406"/>
    <w:rsid w:val="00EC7DFA"/>
    <w:rsid w:val="00F10CD5"/>
    <w:rsid w:val="00F130ED"/>
    <w:rsid w:val="00F25280"/>
    <w:rsid w:val="00F36BD0"/>
    <w:rsid w:val="00F43C35"/>
    <w:rsid w:val="00F46AA8"/>
    <w:rsid w:val="00F531C9"/>
    <w:rsid w:val="00F7614F"/>
    <w:rsid w:val="00F84100"/>
    <w:rsid w:val="00F8565F"/>
    <w:rsid w:val="00FA2520"/>
    <w:rsid w:val="00FA6F92"/>
    <w:rsid w:val="00FB554A"/>
    <w:rsid w:val="00FB6BCF"/>
    <w:rsid w:val="00FC1C46"/>
    <w:rsid w:val="00FC3C7F"/>
    <w:rsid w:val="00FC7834"/>
    <w:rsid w:val="00FF0992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customStyle="1" w:styleId="Level1">
    <w:name w:val="Level 1"/>
    <w:basedOn w:val="Normal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4513" w:h="2640" w:hSpace="180" w:wrap="around" w:vAnchor="text" w:hAnchor="page" w:x="6787" w:y="92"/>
      <w:pBdr>
        <w:top w:val="thinThickMediumGap" w:sz="24" w:space="7" w:color="auto"/>
        <w:left w:val="thinThickMediumGap" w:sz="24" w:space="7" w:color="auto"/>
        <w:bottom w:val="thinThickMediumGap" w:sz="24" w:space="7" w:color="auto"/>
        <w:right w:val="thinThickMediumGap" w:sz="24" w:space="7" w:color="auto"/>
      </w:pBdr>
      <w:shd w:val="solid" w:color="FFFFFF" w:fill="FFFFFF"/>
    </w:pPr>
    <w:rPr>
      <w:rFonts w:ascii="CG Times" w:hAnsi="CG Times"/>
      <w:sz w:val="24"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Lucida Bright" w:hAnsi="Lucida Bright"/>
      <w:b/>
      <w:bCs/>
      <w:sz w:val="24"/>
      <w:u w:val="single"/>
    </w:rPr>
  </w:style>
  <w:style w:type="paragraph" w:styleId="BodyText3">
    <w:name w:val="Body Text 3"/>
    <w:basedOn w:val="Normal"/>
    <w:semiHidden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 Antiqua" w:hAnsi="Book Antiqua"/>
      <w:b/>
      <w:bCs/>
      <w:sz w:val="28"/>
      <w:u w:val="single"/>
    </w:rPr>
  </w:style>
  <w:style w:type="paragraph" w:styleId="Caption">
    <w:name w:val="caption"/>
    <w:basedOn w:val="Normal"/>
    <w:next w:val="Normal"/>
    <w:qFormat/>
    <w:rPr>
      <w:rFonts w:ascii="Book Antiqua" w:hAnsi="Book Antiqua"/>
      <w:b/>
      <w:bCs/>
      <w:sz w:val="28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31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68A3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55"/>
  </w:style>
  <w:style w:type="paragraph" w:styleId="ListParagraph">
    <w:name w:val="List Paragraph"/>
    <w:basedOn w:val="Normal"/>
    <w:uiPriority w:val="34"/>
    <w:qFormat/>
    <w:rsid w:val="002A75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Theme="minorHAnsi" w:hAnsi="Arial" w:cs="Arial"/>
      <w:sz w:val="24"/>
    </w:rPr>
  </w:style>
  <w:style w:type="paragraph" w:styleId="NoSpacing">
    <w:name w:val="No Spacing"/>
    <w:uiPriority w:val="1"/>
    <w:qFormat/>
    <w:rsid w:val="00E34F45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uiPriority w:val="59"/>
    <w:rsid w:val="00E3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F4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customStyle="1" w:styleId="Level1">
    <w:name w:val="Level 1"/>
    <w:basedOn w:val="Normal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4513" w:h="2640" w:hSpace="180" w:wrap="around" w:vAnchor="text" w:hAnchor="page" w:x="6787" w:y="92"/>
      <w:pBdr>
        <w:top w:val="thinThickMediumGap" w:sz="24" w:space="7" w:color="auto"/>
        <w:left w:val="thinThickMediumGap" w:sz="24" w:space="7" w:color="auto"/>
        <w:bottom w:val="thinThickMediumGap" w:sz="24" w:space="7" w:color="auto"/>
        <w:right w:val="thinThickMediumGap" w:sz="24" w:space="7" w:color="auto"/>
      </w:pBdr>
      <w:shd w:val="solid" w:color="FFFFFF" w:fill="FFFFFF"/>
    </w:pPr>
    <w:rPr>
      <w:rFonts w:ascii="CG Times" w:hAnsi="CG Times"/>
      <w:sz w:val="24"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Lucida Bright" w:hAnsi="Lucida Bright"/>
      <w:b/>
      <w:bCs/>
      <w:sz w:val="24"/>
      <w:u w:val="single"/>
    </w:rPr>
  </w:style>
  <w:style w:type="paragraph" w:styleId="BodyText3">
    <w:name w:val="Body Text 3"/>
    <w:basedOn w:val="Normal"/>
    <w:semiHidden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 Antiqua" w:hAnsi="Book Antiqua"/>
      <w:b/>
      <w:bCs/>
      <w:sz w:val="28"/>
      <w:u w:val="single"/>
    </w:rPr>
  </w:style>
  <w:style w:type="paragraph" w:styleId="Caption">
    <w:name w:val="caption"/>
    <w:basedOn w:val="Normal"/>
    <w:next w:val="Normal"/>
    <w:qFormat/>
    <w:rPr>
      <w:rFonts w:ascii="Book Antiqua" w:hAnsi="Book Antiqua"/>
      <w:b/>
      <w:bCs/>
      <w:sz w:val="28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31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68A3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55"/>
  </w:style>
  <w:style w:type="paragraph" w:styleId="ListParagraph">
    <w:name w:val="List Paragraph"/>
    <w:basedOn w:val="Normal"/>
    <w:uiPriority w:val="34"/>
    <w:qFormat/>
    <w:rsid w:val="002A75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Theme="minorHAnsi" w:hAnsi="Arial" w:cs="Arial"/>
      <w:sz w:val="24"/>
    </w:rPr>
  </w:style>
  <w:style w:type="paragraph" w:styleId="NoSpacing">
    <w:name w:val="No Spacing"/>
    <w:uiPriority w:val="1"/>
    <w:qFormat/>
    <w:rsid w:val="00E34F45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uiPriority w:val="59"/>
    <w:rsid w:val="00E3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F4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A94B-3F91-4634-869D-6A58914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Budget Description</vt:lpstr>
    </vt:vector>
  </TitlesOfParts>
  <Company>City of Sedona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Budget Description</dc:title>
  <dc:creator>IS Division</dc:creator>
  <cp:lastModifiedBy>Cherie R. Wright</cp:lastModifiedBy>
  <cp:revision>2</cp:revision>
  <cp:lastPrinted>2017-03-14T00:08:00Z</cp:lastPrinted>
  <dcterms:created xsi:type="dcterms:W3CDTF">2017-04-19T03:37:00Z</dcterms:created>
  <dcterms:modified xsi:type="dcterms:W3CDTF">2017-04-19T03:37:00Z</dcterms:modified>
</cp:coreProperties>
</file>